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293154">
      <w:pPr>
        <w:pStyle w:val="1"/>
        <w:rPr>
          <w:rFonts w:eastAsia="Times New Roman"/>
        </w:rPr>
      </w:pPr>
      <w:r>
        <w:rPr>
          <w:rFonts w:eastAsia="Times New Roman"/>
        </w:rPr>
        <w:t>Расчет затрат и налогов на инвестиционные проекты</w:t>
      </w:r>
    </w:p>
    <w:p w:rsidR="00000000" w:rsidRDefault="00293154">
      <w:pPr>
        <w:pStyle w:val="right"/>
      </w:pPr>
      <w:r>
        <w:t>Приложение 8 к Методическим рекомендациям по оценке эффективности инвестиционных проектов</w:t>
      </w:r>
    </w:p>
    <w:p w:rsidR="00000000" w:rsidRDefault="00293154">
      <w:pPr>
        <w:spacing w:after="240"/>
        <w:rPr>
          <w:rFonts w:ascii="Times New Roman" w:eastAsia="Times New Roman" w:hAnsi="Times New Roman"/>
          <w:sz w:val="24"/>
          <w:szCs w:val="24"/>
        </w:rPr>
      </w:pPr>
    </w:p>
    <w:p w:rsidR="00000000" w:rsidRDefault="00293154">
      <w:pPr>
        <w:pStyle w:val="3"/>
        <w:rPr>
          <w:rFonts w:eastAsia="Times New Roman"/>
        </w:rPr>
      </w:pPr>
      <w:r>
        <w:rPr>
          <w:rFonts w:eastAsia="Times New Roman"/>
        </w:rPr>
        <w:t>РАСЧЕТ ЗАТРАТ И НАЛОГОВ</w:t>
      </w:r>
    </w:p>
    <w:p w:rsidR="00000000" w:rsidRDefault="00293154">
      <w:pPr>
        <w:pStyle w:val="3"/>
        <w:rPr>
          <w:rFonts w:eastAsia="Times New Roman"/>
        </w:rPr>
      </w:pPr>
      <w:r>
        <w:rPr>
          <w:rFonts w:eastAsia="Times New Roman"/>
        </w:rPr>
        <w:t>П8.1. Виды налогов и особенности их расчета</w:t>
      </w:r>
    </w:p>
    <w:p w:rsidR="00000000" w:rsidRDefault="00293154">
      <w:pPr>
        <w:pStyle w:val="just"/>
      </w:pPr>
      <w:r>
        <w:t xml:space="preserve">С точки зрения учета в расчетах эффективности действующие налоги могут быть разделены на следующие виды </w:t>
      </w:r>
      <w:r>
        <w:rPr>
          <w:vertAlign w:val="superscript"/>
        </w:rPr>
        <w:t>1</w:t>
      </w:r>
      <w:r>
        <w:t xml:space="preserve"> :</w:t>
      </w:r>
    </w:p>
    <w:p w:rsidR="00000000" w:rsidRDefault="00293154">
      <w:pPr>
        <w:pStyle w:val="sel"/>
        <w:divId w:val="1953437112"/>
      </w:pPr>
      <w:r>
        <w:t>1 В расчетах эффективности конкретных проектов перечень учитываемых налогов при необходимости может быть детализирован.</w:t>
      </w:r>
    </w:p>
    <w:p w:rsidR="00000000" w:rsidRDefault="00293154">
      <w:pPr>
        <w:pStyle w:val="just"/>
      </w:pPr>
      <w:r>
        <w:t>- налог на добавленную стоим</w:t>
      </w:r>
      <w:r>
        <w:t>ость (НДС);</w:t>
      </w:r>
    </w:p>
    <w:p w:rsidR="00000000" w:rsidRDefault="00293154">
      <w:pPr>
        <w:pStyle w:val="just"/>
      </w:pPr>
      <w:r>
        <w:t>- налог на прибыль;</w:t>
      </w:r>
    </w:p>
    <w:p w:rsidR="00000000" w:rsidRDefault="00293154">
      <w:pPr>
        <w:pStyle w:val="just"/>
      </w:pPr>
      <w:r>
        <w:t>- налог на имущество;</w:t>
      </w:r>
    </w:p>
    <w:p w:rsidR="00000000" w:rsidRDefault="00293154">
      <w:pPr>
        <w:pStyle w:val="just"/>
      </w:pPr>
      <w:r>
        <w:t>- земельный налог;</w:t>
      </w:r>
    </w:p>
    <w:p w:rsidR="00000000" w:rsidRDefault="00293154">
      <w:pPr>
        <w:pStyle w:val="just"/>
      </w:pPr>
      <w:r>
        <w:t>- таможенные пошлины и сборы;</w:t>
      </w:r>
    </w:p>
    <w:p w:rsidR="00000000" w:rsidRDefault="00293154">
      <w:pPr>
        <w:pStyle w:val="just"/>
      </w:pPr>
      <w:r>
        <w:t>- начисления на заработную плату (включая отчисления во внебюджетные фонды, транспортный и другие налоги, базой для исчисления которых является фонд опла</w:t>
      </w:r>
      <w:r>
        <w:t>ты труда персонала);</w:t>
      </w:r>
    </w:p>
    <w:p w:rsidR="00000000" w:rsidRDefault="00293154">
      <w:pPr>
        <w:pStyle w:val="just"/>
      </w:pPr>
      <w:r>
        <w:t>- налоги на продажу (включая налог на пользователей автомобильных дорог и другие, базой для исчисления которых является выручка от реализации произведенной продукции);</w:t>
      </w:r>
    </w:p>
    <w:p w:rsidR="00000000" w:rsidRDefault="00293154">
      <w:pPr>
        <w:pStyle w:val="just"/>
      </w:pPr>
      <w:r>
        <w:t>- налоги на сырье (включая отчисления на воспроизводство минерально</w:t>
      </w:r>
      <w:r>
        <w:t xml:space="preserve"> - сырьевой базы и иные платежи, уплачиваемые при добыче или переработке сырья).</w:t>
      </w:r>
    </w:p>
    <w:p w:rsidR="00000000" w:rsidRDefault="00293154">
      <w:pPr>
        <w:pStyle w:val="just"/>
      </w:pPr>
      <w:r>
        <w:t>В зависимости от способов отражения в балансе предприятия налоги подразделяются на следующие группы:</w:t>
      </w:r>
    </w:p>
    <w:p w:rsidR="00000000" w:rsidRDefault="00293154">
      <w:pPr>
        <w:pStyle w:val="just"/>
      </w:pPr>
      <w:r>
        <w:t>- налоги, включаемые в цену продукции (в том числе - НДС, акцизы, пошлины,</w:t>
      </w:r>
      <w:r>
        <w:t xml:space="preserve"> налог на реализацию горюче-смазочных материалов);</w:t>
      </w:r>
    </w:p>
    <w:p w:rsidR="00000000" w:rsidRDefault="00293154">
      <w:pPr>
        <w:pStyle w:val="just"/>
      </w:pPr>
      <w:r>
        <w:t>- налоги, относимые на себестоимость продукции (в том числе - платежи за пользование недрами, земельный налог, налог на пользователей автомобильных дорог);</w:t>
      </w:r>
    </w:p>
    <w:p w:rsidR="00000000" w:rsidRDefault="00293154">
      <w:pPr>
        <w:pStyle w:val="just"/>
      </w:pPr>
      <w:r>
        <w:lastRenderedPageBreak/>
        <w:t>- налоги, относимые на финансовые результаты, т.е</w:t>
      </w:r>
      <w:r>
        <w:t>. уменьшающие базу для налогообложения прибыли (в том числе - налог на имущество, налог на содержание жилищного фонда и объектов социально-культурной сферы);</w:t>
      </w:r>
    </w:p>
    <w:p w:rsidR="00000000" w:rsidRDefault="00293154">
      <w:pPr>
        <w:pStyle w:val="just"/>
      </w:pPr>
      <w:r>
        <w:t>- налоги на прибыль (в том числе - налог на прибыль от реализации продукции, налог на доходы по де</w:t>
      </w:r>
      <w:r>
        <w:t>позитам, процентам, дивидендам по акциям и иным негосударственным ценным бумагам, налог на доходы от долевого участия в совместных предприятиях);</w:t>
      </w:r>
    </w:p>
    <w:p w:rsidR="00000000" w:rsidRDefault="00293154">
      <w:pPr>
        <w:pStyle w:val="just"/>
      </w:pPr>
      <w:r>
        <w:t>- налоги, уплачиваемые за счет части прибыли, остающейся после уплаты налога на прибыль (в том числе - налог н</w:t>
      </w:r>
      <w:r>
        <w:t>а строительство объектов производственного назначения в курортной зоне, сбор за право торговли).</w:t>
      </w:r>
    </w:p>
    <w:p w:rsidR="00000000" w:rsidRDefault="00293154">
      <w:pPr>
        <w:pStyle w:val="just"/>
      </w:pPr>
      <w:r>
        <w:t>В расчетах бюджетной и региональной эффективности учитывается, кроме того, распределение уплачиваемых налогов по бюджетам различного уровня.</w:t>
      </w:r>
    </w:p>
    <w:p w:rsidR="00000000" w:rsidRDefault="00293154">
      <w:pPr>
        <w:spacing w:after="240"/>
        <w:rPr>
          <w:rFonts w:ascii="Times New Roman" w:eastAsia="Times New Roman" w:hAnsi="Times New Roman"/>
          <w:sz w:val="24"/>
          <w:szCs w:val="24"/>
        </w:rPr>
      </w:pPr>
    </w:p>
    <w:p w:rsidR="00000000" w:rsidRDefault="00293154">
      <w:pPr>
        <w:pStyle w:val="3"/>
        <w:rPr>
          <w:rFonts w:eastAsia="Times New Roman"/>
        </w:rPr>
      </w:pPr>
      <w:r>
        <w:rPr>
          <w:rFonts w:eastAsia="Times New Roman"/>
        </w:rPr>
        <w:t>П8.2. Особенности</w:t>
      </w:r>
      <w:r>
        <w:rPr>
          <w:rFonts w:eastAsia="Times New Roman"/>
        </w:rPr>
        <w:t xml:space="preserve"> учета затрат и налогов</w:t>
      </w:r>
    </w:p>
    <w:p w:rsidR="00000000" w:rsidRDefault="00293154">
      <w:pPr>
        <w:pStyle w:val="just"/>
      </w:pPr>
      <w:r>
        <w:t>Затраты на сырье, материалы, комплектующие изделия, топливо и т.п. обычно рассчитываются одним из следующих способов:</w:t>
      </w:r>
    </w:p>
    <w:p w:rsidR="00000000" w:rsidRDefault="00293154">
      <w:pPr>
        <w:pStyle w:val="just"/>
      </w:pPr>
      <w:r>
        <w:t>- исходя из производственной программы, технологических норм расхода основных ресурсов на единицу каждого вида про</w:t>
      </w:r>
      <w:r>
        <w:t>дукции и цен этих ресурсов. Затраты на остальные (вспомогательные) материальные ресурсы принимаются определенным процентом от расхода основных ресурсов;</w:t>
      </w:r>
    </w:p>
    <w:p w:rsidR="00000000" w:rsidRDefault="00293154">
      <w:pPr>
        <w:pStyle w:val="just"/>
      </w:pPr>
      <w:r>
        <w:t>- на основе данных аналогичных предприятий по затратам на единицу производимой продукции.</w:t>
      </w:r>
    </w:p>
    <w:p w:rsidR="00000000" w:rsidRDefault="00293154">
      <w:pPr>
        <w:pStyle w:val="just"/>
      </w:pPr>
      <w:r>
        <w:t xml:space="preserve">Затраты на ремонт основных фондов рекомендуется рассчитывать в проценте от балансовой стоимости этих фондов (этот процент повышается по мере физического износа фондов </w:t>
      </w:r>
      <w:r>
        <w:rPr>
          <w:vertAlign w:val="superscript"/>
        </w:rPr>
        <w:t>1</w:t>
      </w:r>
      <w:r>
        <w:t xml:space="preserve"> ).</w:t>
      </w:r>
    </w:p>
    <w:p w:rsidR="00000000" w:rsidRDefault="00293154">
      <w:pPr>
        <w:pStyle w:val="sel"/>
        <w:divId w:val="867333391"/>
      </w:pPr>
      <w:r>
        <w:t>1 Обычно по технологическому оборудованию к концу амортизационного срока службы годо</w:t>
      </w:r>
      <w:r>
        <w:t>вые затраты на ремонт возрастают на 40 - 60%, по автотранспорту затраты на ремонт на 1000 км пробега - на 60% к концу каждого межремонтного пробега.</w:t>
      </w:r>
    </w:p>
    <w:p w:rsidR="00000000" w:rsidRDefault="00293154">
      <w:pPr>
        <w:pStyle w:val="just"/>
      </w:pPr>
      <w:r>
        <w:t xml:space="preserve">Затраты на первый комплект запасных частей и приспособлений, поставляемых одновременно с оборудованием для </w:t>
      </w:r>
      <w:r>
        <w:t>строящегося предприятия, включаются в объем капитальных вложений (обычно такая поставка предназначена для обеспечения нормальной работы оборудования в течение 1 - 2 лет, т.е. на срок, превышающий нормальный уровень запасов на действующих предприятиях). Одн</w:t>
      </w:r>
      <w:r>
        <w:t>ако после ввода оборудования в эксплуатацию они учитываются как малоценные и быстроизнашивающиеся предметы в составе текущих активов. До момента закупки очередной партии запасных частей и приспособлений их запас уменьшается в соответствии с их расходование</w:t>
      </w:r>
      <w:r>
        <w:t>м в процессе производства, далее рекомендуется осуществлять закупки в таком размере, чтобы поддерживать нормальный уровень запаса.</w:t>
      </w:r>
    </w:p>
    <w:p w:rsidR="00000000" w:rsidRDefault="00293154">
      <w:pPr>
        <w:pStyle w:val="just"/>
      </w:pPr>
      <w:r>
        <w:t>Порядок отражения некоторых затрат в себестоимости может зависеть от учетной политики предприятия или от договоров между учас</w:t>
      </w:r>
      <w:r>
        <w:t>тниками проекта. Например, только само предприятие имеет право определять сроки службы нематериальных активов или сроки, в течение которых относятся на себестоимость отдельные виды "расходов будущих периодов". При получении оборудования по договору лизинга</w:t>
      </w:r>
      <w:r>
        <w:t xml:space="preserve"> предприятие имеет право применять к нему механизм ускоренной амортизации. При этом повышающий коэффициент к норме амортизации (в пределах от 1 до 3) устанавливается по соглашению лизингодателя и лизингополучателя.</w:t>
      </w:r>
    </w:p>
    <w:p w:rsidR="00000000" w:rsidRDefault="00293154">
      <w:pPr>
        <w:pStyle w:val="just"/>
      </w:pPr>
      <w:r>
        <w:t>При определении прибыли от реализации про</w:t>
      </w:r>
      <w:r>
        <w:t>дукции необходимо учитывать, что она определяется как разность между выручкой от реализации продукции и себестоимостью реализованной (а не произведенной) продукции.</w:t>
      </w:r>
    </w:p>
    <w:p w:rsidR="00000000" w:rsidRDefault="00293154">
      <w:pPr>
        <w:pStyle w:val="just"/>
      </w:pPr>
      <w:r>
        <w:t>Размеры уплачиваемых налогов могут зависеть также от организационно-экономического механизм</w:t>
      </w:r>
      <w:r>
        <w:t>а реализации проекта. В частности, существенно влияет на размеры себестоимости и налога на прибыль использование лизинга. Так, если "обычное" предприятие выплачивает проценты за инвестиционный кредит из прибыли, а суммы, направленные на погашение этого кре</w:t>
      </w:r>
      <w:r>
        <w:t>дита, освобождаются от налога на прибыль лишь при определенных ограничениях, то лизингодатель имеет право относить все платежи по кредиту, направленному на приобретение лизингового имущества, на себестоимость. При получении иностранного оборудования от зар</w:t>
      </w:r>
      <w:r>
        <w:t>убежного лизингодателя лизингополучатель уплачивает таможенные пошлины не сразу, а "в рассрочку" - по 3% ежемесячно.</w:t>
      </w:r>
    </w:p>
    <w:p w:rsidR="00000000" w:rsidRDefault="00293154">
      <w:pPr>
        <w:spacing w:after="240"/>
        <w:rPr>
          <w:rFonts w:ascii="Times New Roman" w:eastAsia="Times New Roman" w:hAnsi="Times New Roman"/>
          <w:sz w:val="24"/>
          <w:szCs w:val="24"/>
        </w:rPr>
      </w:pPr>
    </w:p>
    <w:p w:rsidR="00000000" w:rsidRDefault="00293154">
      <w:pPr>
        <w:pStyle w:val="right"/>
      </w:pPr>
      <w:r>
        <w:t>Источник - Методические рекомендации Минэкономики России, Минфина России, Госстроя России от 21.06.1999 № ВК 477</w:t>
      </w:r>
    </w:p>
    <w:p w:rsidR="00000000" w:rsidRDefault="0029315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Сохраните в закладки на</w:t>
      </w:r>
      <w:r>
        <w:rPr>
          <w:rFonts w:ascii="Times New Roman" w:eastAsia="Times New Roman" w:hAnsi="Times New Roman"/>
          <w:sz w:val="24"/>
          <w:szCs w:val="24"/>
        </w:rPr>
        <w:t xml:space="preserve">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https://порядокправа.рф/obrazecy/raschet_zatrat_i_nalogov_na_investic</w:t>
        </w:r>
        <w:r>
          <w:rPr>
            <w:rStyle w:val="a3"/>
            <w:rFonts w:ascii="Times New Roman" w:eastAsia="Times New Roman" w:hAnsi="Times New Roman"/>
            <w:sz w:val="24"/>
            <w:szCs w:val="24"/>
          </w:rPr>
          <w:t>ionnye_proekty.htm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3154"/>
    <w:rsid w:val="00293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432BB902-20F0-4B3B-B43D-E34B1FD6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3391">
      <w:marLeft w:val="0"/>
      <w:marRight w:val="0"/>
      <w:marTop w:val="0"/>
      <w:marBottom w:val="0"/>
      <w:divBdr>
        <w:top w:val="none" w:sz="0" w:space="0" w:color="auto"/>
        <w:left w:val="none" w:sz="0" w:space="0" w:color="auto"/>
        <w:bottom w:val="none" w:sz="0" w:space="0" w:color="auto"/>
        <w:right w:val="none" w:sz="0" w:space="0" w:color="auto"/>
      </w:divBdr>
    </w:div>
    <w:div w:id="19534371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raschet_zatrat_i_nalogov_na_investicionnye_proekty.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Расчет затрат и налогов на инвестиционные проекты - DOC</dc:title>
  <dc:subject/>
  <dc:creator>Максим Давыдченков</dc:creator>
  <cp:keywords/>
  <dc:description/>
  <cp:lastModifiedBy>Максим Давыдченков</cp:lastModifiedBy>
  <cp:revision>2</cp:revision>
  <dcterms:created xsi:type="dcterms:W3CDTF">2022-08-19T20:37:00Z</dcterms:created>
  <dcterms:modified xsi:type="dcterms:W3CDTF">2022-08-19T20:37:00Z</dcterms:modified>
</cp:coreProperties>
</file>