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65503">
      <w:pPr>
        <w:pStyle w:val="1"/>
        <w:rPr>
          <w:rFonts w:eastAsia="Times New Roman"/>
        </w:rPr>
      </w:pPr>
      <w:r>
        <w:rPr>
          <w:rFonts w:eastAsia="Times New Roman"/>
        </w:rPr>
        <w:t>Паспорт государственного эталона единиц величин, используемых в сфере государственного регулирования обеспечения единства измерений</w:t>
      </w:r>
    </w:p>
    <w:p w:rsidR="00000000" w:rsidRDefault="00065503">
      <w:pPr>
        <w:pStyle w:val="right"/>
      </w:pPr>
      <w:r>
        <w:t>Приложение 2 к Рекомендациям по проведению первичной и периодической аттестации и подготовке к утверждению эталонов единиц величин, используемых в сфере государственного регулирования обеспечения единства измерений</w:t>
      </w:r>
    </w:p>
    <w:p w:rsidR="00000000" w:rsidRDefault="0006550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65503">
      <w:pPr>
        <w:pStyle w:val="3"/>
        <w:rPr>
          <w:rFonts w:eastAsia="Times New Roman"/>
        </w:rPr>
      </w:pPr>
      <w:r>
        <w:rPr>
          <w:rFonts w:eastAsia="Times New Roman"/>
        </w:rPr>
        <w:t>Форма обложки паспорта эталона</w:t>
      </w:r>
    </w:p>
    <w:p w:rsidR="00000000" w:rsidRDefault="00065503">
      <w:pPr>
        <w:pStyle w:val="HTML"/>
      </w:pPr>
      <w:r>
        <w:t>_________</w:t>
      </w:r>
      <w:r>
        <w:t>_________________________________________________________________.</w:t>
      </w:r>
    </w:p>
    <w:p w:rsidR="00000000" w:rsidRDefault="00065503">
      <w:pPr>
        <w:pStyle w:val="HTML"/>
      </w:pPr>
      <w:r>
        <w:t>полное наименование организации - держателя эталона</w:t>
      </w:r>
    </w:p>
    <w:p w:rsidR="00000000" w:rsidRDefault="00065503">
      <w:pPr>
        <w:pStyle w:val="HTML"/>
      </w:pPr>
    </w:p>
    <w:p w:rsidR="00000000" w:rsidRDefault="00065503">
      <w:pPr>
        <w:pStyle w:val="HTML"/>
      </w:pPr>
      <w:r>
        <w:t>ПАСПОРТ ГОСУДАРСТВЕННОГО ЭТАЛОНА</w:t>
      </w:r>
    </w:p>
    <w:p w:rsidR="00000000" w:rsidRDefault="00065503">
      <w:pPr>
        <w:pStyle w:val="HTML"/>
      </w:pPr>
    </w:p>
    <w:p w:rsidR="00000000" w:rsidRDefault="00065503">
      <w:pPr>
        <w:pStyle w:val="HTML"/>
      </w:pPr>
      <w:r>
        <w:t>___________________________________________________.</w:t>
      </w:r>
    </w:p>
    <w:p w:rsidR="00000000" w:rsidRDefault="00065503">
      <w:pPr>
        <w:pStyle w:val="HTML"/>
      </w:pPr>
      <w:r>
        <w:t>Наименование величины, разряд по государственной</w:t>
      </w:r>
    </w:p>
    <w:p w:rsidR="00000000" w:rsidRDefault="00065503">
      <w:pPr>
        <w:pStyle w:val="HTML"/>
      </w:pPr>
      <w:r>
        <w:t>поверочной схеме, значение (диапазон</w:t>
      </w:r>
    </w:p>
    <w:p w:rsidR="00000000" w:rsidRDefault="00065503">
      <w:pPr>
        <w:pStyle w:val="HTML"/>
      </w:pPr>
      <w:r>
        <w:t>значений) величины</w:t>
      </w:r>
    </w:p>
    <w:p w:rsidR="00000000" w:rsidRDefault="00065503">
      <w:pPr>
        <w:pStyle w:val="HTML"/>
      </w:pPr>
    </w:p>
    <w:p w:rsidR="00000000" w:rsidRDefault="00065503">
      <w:pPr>
        <w:pStyle w:val="HTML"/>
      </w:pPr>
      <w:r>
        <w:t>N XXX-XXXX</w:t>
      </w:r>
    </w:p>
    <w:p w:rsidR="00000000" w:rsidRDefault="00065503">
      <w:pPr>
        <w:pStyle w:val="HTML"/>
      </w:pPr>
      <w:r>
        <w:t>¦    ¦</w:t>
      </w:r>
    </w:p>
    <w:p w:rsidR="00000000" w:rsidRDefault="00065503">
      <w:pPr>
        <w:pStyle w:val="HTML"/>
      </w:pPr>
      <w:r>
        <w:t>Количество знаков и    Сквозная 4-х разрядная</w:t>
      </w:r>
    </w:p>
    <w:p w:rsidR="00000000" w:rsidRDefault="00065503">
      <w:pPr>
        <w:pStyle w:val="HTML"/>
      </w:pPr>
      <w:r>
        <w:t>символов наносится     (0001 - 9999) нумерация</w:t>
      </w:r>
    </w:p>
    <w:p w:rsidR="00000000" w:rsidRDefault="00065503">
      <w:pPr>
        <w:pStyle w:val="HTML"/>
      </w:pPr>
      <w:r>
        <w:t>по усмотрению          для всех эталонов,</w:t>
      </w:r>
    </w:p>
    <w:p w:rsidR="00000000" w:rsidRDefault="00065503">
      <w:pPr>
        <w:pStyle w:val="HTML"/>
      </w:pPr>
      <w:r>
        <w:t>держателя эталона      присваивается</w:t>
      </w:r>
    </w:p>
    <w:p w:rsidR="00000000" w:rsidRDefault="00065503">
      <w:pPr>
        <w:pStyle w:val="HTML"/>
      </w:pPr>
      <w:r>
        <w:t>для внутр</w:t>
      </w:r>
      <w:r>
        <w:t>енней         держателем эталона</w:t>
      </w:r>
    </w:p>
    <w:p w:rsidR="00000000" w:rsidRDefault="00065503">
      <w:pPr>
        <w:pStyle w:val="HTML"/>
      </w:pPr>
      <w:r>
        <w:t>идентификации          для последующей</w:t>
      </w:r>
    </w:p>
    <w:p w:rsidR="00000000" w:rsidRDefault="00065503">
      <w:pPr>
        <w:pStyle w:val="HTML"/>
      </w:pPr>
      <w:r>
        <w:t>(номер отдела, лаб.)   идентификации</w:t>
      </w:r>
    </w:p>
    <w:p w:rsidR="00000000" w:rsidRDefault="00065503">
      <w:pPr>
        <w:pStyle w:val="HTML"/>
      </w:pPr>
    </w:p>
    <w:p w:rsidR="00000000" w:rsidRDefault="00065503">
      <w:pPr>
        <w:pStyle w:val="HTML"/>
      </w:pPr>
      <w:r>
        <w:t>201  г.</w:t>
      </w:r>
    </w:p>
    <w:p w:rsidR="00000000" w:rsidRDefault="0006550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65503">
      <w:pPr>
        <w:pStyle w:val="3"/>
        <w:rPr>
          <w:rFonts w:eastAsia="Times New Roman"/>
        </w:rPr>
      </w:pPr>
      <w:r>
        <w:rPr>
          <w:rFonts w:eastAsia="Times New Roman"/>
        </w:rPr>
        <w:t>Форма и содержание 1-й страницы паспорта эталона</w:t>
      </w:r>
    </w:p>
    <w:p w:rsidR="00000000" w:rsidRDefault="00065503">
      <w:pPr>
        <w:pStyle w:val="HTML"/>
      </w:pPr>
      <w:r>
        <w:t>__________________________________________________________________________.</w:t>
      </w:r>
    </w:p>
    <w:p w:rsidR="00000000" w:rsidRDefault="00065503">
      <w:pPr>
        <w:pStyle w:val="HTML"/>
      </w:pPr>
      <w:r>
        <w:t>полное наименование организации - держателя эталона</w:t>
      </w:r>
    </w:p>
    <w:p w:rsidR="00000000" w:rsidRDefault="00065503">
      <w:pPr>
        <w:pStyle w:val="HTML"/>
      </w:pPr>
    </w:p>
    <w:p w:rsidR="00000000" w:rsidRDefault="00065503">
      <w:pPr>
        <w:pStyle w:val="HTML"/>
      </w:pPr>
      <w:r>
        <w:t>ПАСПОРТ ГОСУДАРСТВЕННОГО ЭТАЛОНА</w:t>
      </w:r>
    </w:p>
    <w:p w:rsidR="00000000" w:rsidRDefault="00065503">
      <w:pPr>
        <w:pStyle w:val="HTML"/>
      </w:pPr>
    </w:p>
    <w:p w:rsidR="00000000" w:rsidRDefault="00065503">
      <w:pPr>
        <w:pStyle w:val="HTML"/>
      </w:pPr>
      <w:r>
        <w:t>_____________________________________________________________.</w:t>
      </w:r>
    </w:p>
    <w:p w:rsidR="00000000" w:rsidRDefault="00065503">
      <w:pPr>
        <w:pStyle w:val="HTML"/>
      </w:pPr>
      <w:r>
        <w:t>Наименование величины, разряд по государственной поверочной</w:t>
      </w:r>
    </w:p>
    <w:p w:rsidR="00000000" w:rsidRDefault="00065503">
      <w:pPr>
        <w:pStyle w:val="HTML"/>
      </w:pPr>
      <w:r>
        <w:t>схеме, значение (диапазон значений) величины</w:t>
      </w:r>
    </w:p>
    <w:p w:rsidR="00000000" w:rsidRDefault="00065503">
      <w:pPr>
        <w:pStyle w:val="HTML"/>
      </w:pPr>
    </w:p>
    <w:p w:rsidR="00000000" w:rsidRDefault="00065503">
      <w:pPr>
        <w:pStyle w:val="HTML"/>
      </w:pPr>
      <w:r>
        <w:t>СОСТАВ ГОСУДАРСТВЕННОГО ЭТАЛОНА</w:t>
      </w:r>
    </w:p>
    <w:p w:rsidR="00000000" w:rsidRDefault="00065503">
      <w:pPr>
        <w:pStyle w:val="HTML"/>
      </w:pPr>
    </w:p>
    <w:p w:rsidR="00000000" w:rsidRDefault="00065503">
      <w:pPr>
        <w:pStyle w:val="HTML"/>
      </w:pPr>
      <w:r>
        <w:t>Государственный  эталон состоит из комплекса основных и вспомогательных</w:t>
      </w:r>
    </w:p>
    <w:p w:rsidR="00000000" w:rsidRDefault="00065503">
      <w:pPr>
        <w:pStyle w:val="HTML"/>
      </w:pPr>
      <w:r>
        <w:t>технических средств, приведенных в эксплуатационной документации на эталон.</w:t>
      </w:r>
    </w:p>
    <w:p w:rsidR="00000000" w:rsidRDefault="00065503">
      <w:pPr>
        <w:pStyle w:val="HTML"/>
      </w:pPr>
    </w:p>
    <w:p w:rsidR="00000000" w:rsidRDefault="00065503">
      <w:pPr>
        <w:pStyle w:val="HTML"/>
      </w:pPr>
      <w:r>
        <w:t xml:space="preserve">(в нижеприведенной  таблице  перечисляют  технические средства, входящие  </w:t>
      </w:r>
      <w:r>
        <w:t>в</w:t>
      </w:r>
    </w:p>
    <w:p w:rsidR="00000000" w:rsidRDefault="00065503">
      <w:pPr>
        <w:pStyle w:val="HTML"/>
      </w:pPr>
      <w:r>
        <w:t>состав  эталона,  с  указанием  типа,  номера  или  другого индивидуального</w:t>
      </w:r>
    </w:p>
    <w:p w:rsidR="00000000" w:rsidRDefault="00065503">
      <w:pPr>
        <w:pStyle w:val="HTML"/>
      </w:pPr>
      <w:r>
        <w:t>знака).</w:t>
      </w:r>
    </w:p>
    <w:p w:rsidR="00000000" w:rsidRDefault="00065503">
      <w:pPr>
        <w:pStyle w:val="HTML"/>
      </w:pPr>
    </w:p>
    <w:p w:rsidR="00000000" w:rsidRDefault="00065503">
      <w:pPr>
        <w:pStyle w:val="HTML"/>
      </w:pPr>
      <w:r>
        <w:t>Примечание:</w:t>
      </w:r>
    </w:p>
    <w:p w:rsidR="00000000" w:rsidRDefault="00065503">
      <w:pPr>
        <w:pStyle w:val="HTML"/>
      </w:pPr>
      <w:r>
        <w:t>1.    При   замене   вспомогательного   средства,   не   влияющего   на</w:t>
      </w:r>
    </w:p>
    <w:p w:rsidR="00000000" w:rsidRDefault="00065503">
      <w:pPr>
        <w:pStyle w:val="HTML"/>
      </w:pPr>
      <w:r>
        <w:t>метрологические  и  технические  характеристики эталона, в паспорт вносится</w:t>
      </w:r>
    </w:p>
    <w:p w:rsidR="00000000" w:rsidRDefault="00065503">
      <w:pPr>
        <w:pStyle w:val="HTML"/>
      </w:pPr>
      <w:r>
        <w:t>соответст</w:t>
      </w:r>
      <w:r>
        <w:t>вующая запись без проведения повторной процедуры аттестации</w:t>
      </w:r>
    </w:p>
    <w:p w:rsidR="00000000" w:rsidRDefault="00065503">
      <w:pPr>
        <w:pStyle w:val="HTML"/>
      </w:pPr>
    </w:p>
    <w:p w:rsidR="00000000" w:rsidRDefault="00065503">
      <w:pPr>
        <w:pStyle w:val="HTML"/>
      </w:pPr>
      <w:r>
        <w:t>Таблица 1 - Состав эталона</w:t>
      </w:r>
    </w:p>
    <w:p w:rsidR="00000000" w:rsidRDefault="0006550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65503">
      <w:pPr>
        <w:pStyle w:val="3"/>
        <w:rPr>
          <w:rFonts w:eastAsia="Times New Roman"/>
        </w:rPr>
      </w:pPr>
      <w:r>
        <w:rPr>
          <w:rFonts w:eastAsia="Times New Roman"/>
        </w:rPr>
        <w:t>N Наименование Тип Заводской номер Примечание</w:t>
      </w:r>
    </w:p>
    <w:p w:rsidR="00000000" w:rsidRDefault="00065503">
      <w:pPr>
        <w:pStyle w:val="HTML"/>
      </w:pPr>
      <w:r>
        <w:t xml:space="preserve">          МЕТРОЛОГИЧЕСКИЕ ХАРАКТЕРИСТИКИ ГОСУДАРСТВЕННОГО ЭТАЛОНА</w:t>
      </w:r>
    </w:p>
    <w:p w:rsidR="00000000" w:rsidRDefault="00065503">
      <w:pPr>
        <w:pStyle w:val="HTML"/>
      </w:pPr>
    </w:p>
    <w:p w:rsidR="00000000" w:rsidRDefault="00065503">
      <w:pPr>
        <w:pStyle w:val="HTML"/>
      </w:pPr>
      <w:r>
        <w:t>Диапазон значений ____________________________________</w:t>
      </w:r>
      <w:r>
        <w:t>__________, в котором</w:t>
      </w:r>
    </w:p>
    <w:p w:rsidR="00000000" w:rsidRDefault="00065503">
      <w:pPr>
        <w:pStyle w:val="HTML"/>
      </w:pPr>
      <w:r>
        <w:t>наименование величины</w:t>
      </w:r>
    </w:p>
    <w:p w:rsidR="00000000" w:rsidRDefault="00065503">
      <w:pPr>
        <w:pStyle w:val="HTML"/>
      </w:pPr>
      <w:r>
        <w:t>эталон хранит и передает значение величины, составляет ___________________.</w:t>
      </w:r>
    </w:p>
    <w:p w:rsidR="00000000" w:rsidRDefault="00065503">
      <w:pPr>
        <w:pStyle w:val="HTML"/>
      </w:pPr>
      <w:r>
        <w:t>значение величины</w:t>
      </w:r>
    </w:p>
    <w:p w:rsidR="00000000" w:rsidRDefault="00065503">
      <w:pPr>
        <w:pStyle w:val="HTML"/>
      </w:pPr>
    </w:p>
    <w:p w:rsidR="00000000" w:rsidRDefault="00065503">
      <w:pPr>
        <w:pStyle w:val="HTML"/>
      </w:pPr>
      <w:r>
        <w:t>(или)</w:t>
      </w:r>
    </w:p>
    <w:p w:rsidR="00000000" w:rsidRDefault="00065503">
      <w:pPr>
        <w:pStyle w:val="HTML"/>
      </w:pPr>
    </w:p>
    <w:p w:rsidR="00000000" w:rsidRDefault="00065503">
      <w:pPr>
        <w:pStyle w:val="HTML"/>
      </w:pPr>
      <w:r>
        <w:t>Номинальное значение _________________________________________, при котором</w:t>
      </w:r>
    </w:p>
    <w:p w:rsidR="00000000" w:rsidRDefault="00065503">
      <w:pPr>
        <w:pStyle w:val="HTML"/>
      </w:pPr>
      <w:r>
        <w:t>наименование величины</w:t>
      </w:r>
    </w:p>
    <w:p w:rsidR="00000000" w:rsidRDefault="00065503">
      <w:pPr>
        <w:pStyle w:val="HTML"/>
      </w:pPr>
      <w:r>
        <w:t>эталон хранит и передает значение величины, составляет ___________________.</w:t>
      </w:r>
    </w:p>
    <w:p w:rsidR="00000000" w:rsidRDefault="00065503">
      <w:pPr>
        <w:pStyle w:val="HTML"/>
      </w:pPr>
      <w:r>
        <w:t>значение величины</w:t>
      </w:r>
    </w:p>
    <w:p w:rsidR="00000000" w:rsidRDefault="00065503">
      <w:pPr>
        <w:pStyle w:val="HTML"/>
      </w:pPr>
    </w:p>
    <w:p w:rsidR="00000000" w:rsidRDefault="00065503">
      <w:pPr>
        <w:pStyle w:val="HTML"/>
      </w:pPr>
      <w:r>
        <w:t xml:space="preserve">Погрешность  эталона и неопределенность измерений при передаче </w:t>
      </w:r>
      <w:r>
        <w:t>значений</w:t>
      </w:r>
    </w:p>
    <w:p w:rsidR="00000000" w:rsidRDefault="00065503">
      <w:pPr>
        <w:pStyle w:val="HTML"/>
      </w:pPr>
      <w:r>
        <w:t>величины эталоном приводят в соответствии  с ГОСТ 8.381-2009 "ГСИ. Эталоны.</w:t>
      </w:r>
    </w:p>
    <w:p w:rsidR="00000000" w:rsidRDefault="00065503">
      <w:pPr>
        <w:pStyle w:val="HTML"/>
      </w:pPr>
      <w:r>
        <w:t>Способы выражения точности".</w:t>
      </w:r>
    </w:p>
    <w:p w:rsidR="00000000" w:rsidRDefault="00065503">
      <w:pPr>
        <w:pStyle w:val="HTML"/>
      </w:pPr>
    </w:p>
    <w:p w:rsidR="00000000" w:rsidRDefault="00065503">
      <w:pPr>
        <w:pStyle w:val="HTML"/>
      </w:pPr>
      <w:r>
        <w:t>Примечание:   1.  Метрологические  характеристики  эталона  могут  быть</w:t>
      </w:r>
    </w:p>
    <w:p w:rsidR="00000000" w:rsidRDefault="00065503">
      <w:pPr>
        <w:pStyle w:val="HTML"/>
      </w:pPr>
      <w:r>
        <w:t>приведены в развернутой (например, табличной) форме (Приложение 6б).</w:t>
      </w:r>
    </w:p>
    <w:p w:rsidR="00000000" w:rsidRDefault="00065503">
      <w:pPr>
        <w:pStyle w:val="HTML"/>
      </w:pPr>
      <w:r>
        <w:t>2.  При необходимости состав и характеристики вспомогательных устройств</w:t>
      </w:r>
    </w:p>
    <w:p w:rsidR="00000000" w:rsidRDefault="00065503">
      <w:pPr>
        <w:pStyle w:val="HTML"/>
      </w:pPr>
      <w:r>
        <w:t>и  сооружений как непосредственно входящих в эталон, так и составляющих его</w:t>
      </w:r>
    </w:p>
    <w:p w:rsidR="00000000" w:rsidRDefault="00065503">
      <w:pPr>
        <w:pStyle w:val="HTML"/>
      </w:pPr>
      <w:r>
        <w:t>техническую   инфраструктуру,   являющуюся   неотъемлемой   частью  единого</w:t>
      </w:r>
    </w:p>
    <w:p w:rsidR="00000000" w:rsidRDefault="00065503">
      <w:pPr>
        <w:pStyle w:val="HTML"/>
      </w:pPr>
      <w:r>
        <w:t>целостного  эталонного  имуществ</w:t>
      </w:r>
      <w:r>
        <w:t>енного  комплекса,  приводят в приложении к</w:t>
      </w:r>
    </w:p>
    <w:p w:rsidR="00000000" w:rsidRDefault="00065503">
      <w:pPr>
        <w:pStyle w:val="HTML"/>
      </w:pPr>
      <w:r>
        <w:t>паспорту.</w:t>
      </w:r>
    </w:p>
    <w:p w:rsidR="00000000" w:rsidRDefault="00065503">
      <w:pPr>
        <w:pStyle w:val="HTML"/>
      </w:pPr>
    </w:p>
    <w:p w:rsidR="00000000" w:rsidRDefault="00065503">
      <w:pPr>
        <w:pStyle w:val="HTML"/>
      </w:pPr>
      <w:r>
        <w:t>Межаттестационный интервал государственного эталона</w:t>
      </w:r>
    </w:p>
    <w:p w:rsidR="00000000" w:rsidRDefault="00065503">
      <w:pPr>
        <w:pStyle w:val="HTML"/>
      </w:pPr>
    </w:p>
    <w:p w:rsidR="00000000" w:rsidRDefault="00065503">
      <w:pPr>
        <w:pStyle w:val="HTML"/>
      </w:pPr>
      <w:r>
        <w:t>составляет  ...  месяцев.</w:t>
      </w:r>
    </w:p>
    <w:p w:rsidR="00000000" w:rsidRDefault="00065503">
      <w:pPr>
        <w:pStyle w:val="HTML"/>
      </w:pPr>
    </w:p>
    <w:p w:rsidR="00000000" w:rsidRDefault="00065503">
      <w:pPr>
        <w:pStyle w:val="HTML"/>
      </w:pPr>
      <w:r>
        <w:t>ГОД ВЫПУСКА И ПРОИЗВОДИТЕЛЬ ГОСУДАРСТВЕННОГО ЭТАЛОНА</w:t>
      </w:r>
    </w:p>
    <w:p w:rsidR="00000000" w:rsidRDefault="00065503">
      <w:pPr>
        <w:pStyle w:val="HTML"/>
      </w:pPr>
    </w:p>
    <w:p w:rsidR="00000000" w:rsidRDefault="00065503">
      <w:pPr>
        <w:pStyle w:val="HTML"/>
      </w:pPr>
      <w:r>
        <w:t>Эталон изготовлен _________________________________________________________</w:t>
      </w:r>
    </w:p>
    <w:p w:rsidR="00000000" w:rsidRDefault="00065503">
      <w:pPr>
        <w:pStyle w:val="HTML"/>
      </w:pPr>
      <w:r>
        <w:t>___________________________________________________________________________</w:t>
      </w:r>
    </w:p>
    <w:p w:rsidR="00000000" w:rsidRDefault="00065503">
      <w:pPr>
        <w:pStyle w:val="HTML"/>
      </w:pPr>
      <w:r>
        <w:t>наименование организации - изготовителя эталона</w:t>
      </w:r>
    </w:p>
    <w:p w:rsidR="00000000" w:rsidRDefault="00065503">
      <w:pPr>
        <w:pStyle w:val="HTML"/>
      </w:pPr>
    </w:p>
    <w:p w:rsidR="00000000" w:rsidRDefault="00065503">
      <w:pPr>
        <w:pStyle w:val="HTML"/>
      </w:pPr>
      <w:r>
        <w:t>МЕСТО И УСЛОВИЯ СОДЕРЖАНИЯ ГОСУДАРСТВЕННОГО ЭТАЛОНА</w:t>
      </w:r>
    </w:p>
    <w:p w:rsidR="00000000" w:rsidRDefault="00065503">
      <w:pPr>
        <w:pStyle w:val="HTML"/>
      </w:pPr>
    </w:p>
    <w:p w:rsidR="00000000" w:rsidRDefault="00065503">
      <w:pPr>
        <w:pStyle w:val="HTML"/>
      </w:pPr>
      <w:r>
        <w:t>Эт</w:t>
      </w:r>
      <w:r>
        <w:t>алон содержат и применяют в ____________________________________________.</w:t>
      </w:r>
    </w:p>
    <w:p w:rsidR="00000000" w:rsidRDefault="00065503">
      <w:pPr>
        <w:pStyle w:val="HTML"/>
      </w:pPr>
      <w:r>
        <w:t>наименование организации - держателя эталона</w:t>
      </w:r>
    </w:p>
    <w:p w:rsidR="00000000" w:rsidRDefault="00065503">
      <w:pPr>
        <w:pStyle w:val="HTML"/>
      </w:pPr>
      <w:r>
        <w:t>в условиях, соответствующих правилам содержания и применения  эталона  (ПрС</w:t>
      </w:r>
    </w:p>
    <w:p w:rsidR="00000000" w:rsidRDefault="00065503">
      <w:pPr>
        <w:pStyle w:val="HTML"/>
      </w:pPr>
      <w:r>
        <w:t>N ...).</w:t>
      </w:r>
    </w:p>
    <w:p w:rsidR="00000000" w:rsidRDefault="00065503">
      <w:pPr>
        <w:pStyle w:val="HTML"/>
      </w:pPr>
    </w:p>
    <w:p w:rsidR="00000000" w:rsidRDefault="00065503">
      <w:pPr>
        <w:pStyle w:val="HTML"/>
      </w:pPr>
      <w:r>
        <w:t>ОТДЕЛ (ЛАБОРАТОРИЯ), ОТВЕТСТВЕННЫЙ ЗА ГОСУДАРСТВЕННЫ</w:t>
      </w:r>
      <w:r>
        <w:t>Й ЭТАЛОН</w:t>
      </w:r>
    </w:p>
    <w:p w:rsidR="00000000" w:rsidRDefault="00065503">
      <w:pPr>
        <w:pStyle w:val="HTML"/>
      </w:pPr>
    </w:p>
    <w:p w:rsidR="00000000" w:rsidRDefault="00065503">
      <w:pPr>
        <w:pStyle w:val="HTML"/>
      </w:pPr>
      <w:r>
        <w:t>__________________________________________________________________________.</w:t>
      </w:r>
    </w:p>
    <w:p w:rsidR="00000000" w:rsidRDefault="00065503">
      <w:pPr>
        <w:pStyle w:val="HTML"/>
      </w:pPr>
      <w:r>
        <w:t>наименование подразделения, N помещения</w:t>
      </w:r>
    </w:p>
    <w:p w:rsidR="00000000" w:rsidRDefault="00065503">
      <w:pPr>
        <w:pStyle w:val="HTML"/>
      </w:pPr>
    </w:p>
    <w:p w:rsidR="00000000" w:rsidRDefault="00065503">
      <w:pPr>
        <w:pStyle w:val="HTML"/>
      </w:pPr>
      <w:r>
        <w:t>Руководитель</w:t>
      </w:r>
    </w:p>
    <w:p w:rsidR="00000000" w:rsidRDefault="00065503">
      <w:pPr>
        <w:pStyle w:val="HTML"/>
      </w:pPr>
      <w:r>
        <w:t>организации                    ______________ _________________</w:t>
      </w:r>
    </w:p>
    <w:p w:rsidR="00000000" w:rsidRDefault="00065503">
      <w:pPr>
        <w:pStyle w:val="HTML"/>
      </w:pPr>
      <w:r>
        <w:t>подпись    Инициалы, фамилия</w:t>
      </w:r>
    </w:p>
    <w:p w:rsidR="00000000" w:rsidRDefault="00065503">
      <w:pPr>
        <w:pStyle w:val="HTML"/>
      </w:pPr>
      <w:r>
        <w:t>Должность специалиста,</w:t>
      </w:r>
    </w:p>
    <w:p w:rsidR="00000000" w:rsidRDefault="00065503">
      <w:pPr>
        <w:pStyle w:val="HTML"/>
      </w:pPr>
      <w:r>
        <w:t>ответственного за содержание</w:t>
      </w:r>
    </w:p>
    <w:p w:rsidR="00000000" w:rsidRDefault="00065503">
      <w:pPr>
        <w:pStyle w:val="HTML"/>
      </w:pPr>
      <w:r>
        <w:t>и применение эталона           ______________ _________________</w:t>
      </w:r>
    </w:p>
    <w:p w:rsidR="00000000" w:rsidRDefault="00065503">
      <w:pPr>
        <w:pStyle w:val="HTML"/>
      </w:pPr>
      <w:r>
        <w:t>подпись    Инициалы, фамилия</w:t>
      </w:r>
    </w:p>
    <w:p w:rsidR="00000000" w:rsidRDefault="00065503">
      <w:pPr>
        <w:pStyle w:val="HTML"/>
      </w:pPr>
    </w:p>
    <w:p w:rsidR="00000000" w:rsidRDefault="00065503">
      <w:pPr>
        <w:pStyle w:val="HTML"/>
      </w:pPr>
      <w:r>
        <w:t>Эталон  утвержден  приказом  Федерального   агентства    по    техническому</w:t>
      </w:r>
    </w:p>
    <w:p w:rsidR="00000000" w:rsidRDefault="00065503">
      <w:pPr>
        <w:pStyle w:val="HTML"/>
      </w:pPr>
      <w:r>
        <w:t>регулированию и метрологии от _______________ N _________</w:t>
      </w:r>
      <w:r>
        <w:t>______.</w:t>
      </w:r>
    </w:p>
    <w:p w:rsidR="00000000" w:rsidRDefault="00065503">
      <w:pPr>
        <w:pStyle w:val="HTML"/>
      </w:pPr>
    </w:p>
    <w:p w:rsidR="00000000" w:rsidRDefault="00065503">
      <w:pPr>
        <w:pStyle w:val="HTML"/>
      </w:pPr>
      <w:r>
        <w:t>ВКЛАДНОЙ ЛИСТ К ПАСПОРТУ ГОСУДАРСТВЕННОГО ЭТАЛОНА</w:t>
      </w:r>
    </w:p>
    <w:p w:rsidR="00000000" w:rsidRDefault="00065503">
      <w:pPr>
        <w:pStyle w:val="HTML"/>
      </w:pPr>
    </w:p>
    <w:p w:rsidR="00000000" w:rsidRDefault="00065503">
      <w:pPr>
        <w:pStyle w:val="HTML"/>
      </w:pPr>
      <w:r>
        <w:t>__________________________________________________________________________.</w:t>
      </w:r>
    </w:p>
    <w:p w:rsidR="00000000" w:rsidRDefault="00065503">
      <w:pPr>
        <w:pStyle w:val="HTML"/>
      </w:pPr>
      <w:r>
        <w:t>наименование величины</w:t>
      </w:r>
    </w:p>
    <w:p w:rsidR="00000000" w:rsidRDefault="00065503">
      <w:pPr>
        <w:pStyle w:val="HTML"/>
      </w:pPr>
      <w:r>
        <w:t>___________________________________________________________________________</w:t>
      </w:r>
    </w:p>
    <w:p w:rsidR="00000000" w:rsidRDefault="00065503">
      <w:pPr>
        <w:pStyle w:val="HTML"/>
      </w:pPr>
      <w:r>
        <w:t>регистрационный номер эталона</w:t>
      </w:r>
    </w:p>
    <w:p w:rsidR="00000000" w:rsidRDefault="00065503">
      <w:pPr>
        <w:pStyle w:val="HTML"/>
      </w:pPr>
    </w:p>
    <w:p w:rsidR="00000000" w:rsidRDefault="00065503">
      <w:pPr>
        <w:pStyle w:val="HTML"/>
      </w:pPr>
      <w:r>
        <w:t>РЕЗУЛЬТАТЫ ПЕРИОДИЧЕСКОЙ АТТЕСТАЦИИ И ИССЛЕДОВАНИЙ</w:t>
      </w:r>
    </w:p>
    <w:p w:rsidR="00000000" w:rsidRDefault="00065503">
      <w:pPr>
        <w:pStyle w:val="HTML"/>
      </w:pPr>
      <w:r>
        <w:t>ГОСУДАРСТВЕННОГО ЭТАЛОНА</w:t>
      </w:r>
    </w:p>
    <w:p w:rsidR="00000000" w:rsidRDefault="00065503">
      <w:pPr>
        <w:pStyle w:val="HTML"/>
      </w:pPr>
    </w:p>
    <w:p w:rsidR="00000000" w:rsidRDefault="00065503">
      <w:pPr>
        <w:pStyle w:val="HTML"/>
      </w:pPr>
      <w:r>
        <w:t>______________________________________________.</w:t>
      </w:r>
    </w:p>
    <w:p w:rsidR="00000000" w:rsidRDefault="00065503">
      <w:pPr>
        <w:pStyle w:val="HTML"/>
      </w:pPr>
      <w:r>
        <w:t>наименование величины</w:t>
      </w:r>
    </w:p>
    <w:p w:rsidR="00000000" w:rsidRDefault="0006550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65503">
      <w:pPr>
        <w:pStyle w:val="3"/>
        <w:rPr>
          <w:rFonts w:eastAsia="Times New Roman"/>
        </w:rPr>
      </w:pPr>
      <w:r>
        <w:rPr>
          <w:rFonts w:eastAsia="Times New Roman"/>
        </w:rPr>
        <w:t>Д</w:t>
      </w:r>
      <w:r>
        <w:rPr>
          <w:rFonts w:eastAsia="Times New Roman"/>
        </w:rPr>
        <w:t xml:space="preserve">ата внесения записи Номинальное значение (диапазон значений) Доверительные границы погрешности </w:t>
      </w:r>
      <w:r>
        <w:rPr>
          <w:rFonts w:eastAsia="Times New Roman"/>
          <w:noProof/>
        </w:rPr>
        <w:drawing>
          <wp:inline distT="0" distB="0" distL="0" distR="0">
            <wp:extent cx="152400" cy="160020"/>
            <wp:effectExtent l="0" t="0" r="0" b="11430"/>
            <wp:docPr id="2" name="Рисунок 2" descr="Обознач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означение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>(P) при P = 0,95 Расширенная неопределенность измерений</w:t>
      </w:r>
      <w:r>
        <w:rPr>
          <w:rFonts w:eastAsia="Times New Roman"/>
        </w:rPr>
        <w:t xml:space="preserve"> на эталоне U(0,95) Подпись ответственного за эталон</w:t>
      </w:r>
    </w:p>
    <w:p w:rsidR="00000000" w:rsidRDefault="00065503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065503">
      <w:pPr>
        <w:pStyle w:val="just"/>
      </w:pPr>
      <w:r>
        <w:t>Примечания:</w:t>
      </w:r>
    </w:p>
    <w:p w:rsidR="00000000" w:rsidRDefault="00065503">
      <w:pPr>
        <w:pStyle w:val="just"/>
      </w:pPr>
      <w:r>
        <w:t xml:space="preserve">1. Суммарная погрешность разрядного эталона характеризуется доверительными границами </w:t>
      </w:r>
      <w:r>
        <w:rPr>
          <w:noProof/>
        </w:rPr>
        <w:drawing>
          <wp:inline distT="0" distB="0" distL="0" distR="0">
            <wp:extent cx="152400" cy="160020"/>
            <wp:effectExtent l="0" t="0" r="0" b="11430"/>
            <wp:docPr id="1" name="Рисунок 1" descr="Обознач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означение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(P), вычисленными с доверительной вероятностью 0,95, с учетом влияния случайных погрешностей и неисключенных систематических погрешностей поверяемого и исходного </w:t>
      </w:r>
      <w:r>
        <w:rPr>
          <w:vertAlign w:val="superscript"/>
        </w:rPr>
        <w:t>1</w:t>
      </w:r>
      <w:r>
        <w:t xml:space="preserve"> эталонов, средств передачи единицы </w:t>
      </w:r>
      <w:r>
        <w:t>величины и нестабильностью эталонов.</w:t>
      </w:r>
    </w:p>
    <w:p w:rsidR="00000000" w:rsidRDefault="00065503">
      <w:pPr>
        <w:pStyle w:val="sel"/>
        <w:divId w:val="879171262"/>
      </w:pPr>
      <w:r>
        <w:t>1 Исходный эталон - эталон, от которого передана единица величины данному разрядному эталону.</w:t>
      </w:r>
    </w:p>
    <w:p w:rsidR="00000000" w:rsidRDefault="00065503">
      <w:pPr>
        <w:pStyle w:val="just"/>
      </w:pPr>
      <w:r>
        <w:t>2. Неопределенность измерений при передаче размера единицы величины разрядным эталоном характеризуют расширенной неопределенн</w:t>
      </w:r>
      <w:r>
        <w:t>остью измерений U(0,95) при передаче размера единицы величины от исходного эталона, обусловленной неопределенностями передачи единицы величины от исходного эталона поверяемому, оцененными по типу A и по типу B, для уровня доверия 0,95 и нестабильностью эта</w:t>
      </w:r>
      <w:r>
        <w:t>лонов.</w:t>
      </w:r>
    </w:p>
    <w:p w:rsidR="00000000" w:rsidRDefault="00065503">
      <w:pPr>
        <w:pStyle w:val="just"/>
      </w:pPr>
      <w:r>
        <w:t>3. Для вторичных эталонов и групповых эталонов следует использовать рекомендации, приведенные в ГОСТ 8.381-2009 Государственная система обеспечения единства измерений. Эталоны. Способы выражения точности.</w:t>
      </w:r>
    </w:p>
    <w:p w:rsidR="00000000" w:rsidRDefault="0006550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65503">
      <w:pPr>
        <w:pStyle w:val="right"/>
      </w:pPr>
      <w:r>
        <w:t>Источник - Приказ Росстандарта от 22.01.201</w:t>
      </w:r>
      <w:r>
        <w:t>4 № 36</w:t>
      </w:r>
    </w:p>
    <w:p w:rsidR="00000000" w:rsidRDefault="0006550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6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7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https://порядокправа.рф/obrazecy/pasport_gosudarstvennogo_etalona_edinic_velichin_ispolzuemyx_v_sfere_gosudarstvennogo_regulirovaniya.htm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503"/>
    <w:rsid w:val="0006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300295B-9D65-435F-B797-DB3BC2A72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17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&#1087;&#1086;&#1088;&#1103;&#1076;&#1086;&#1082;&#1087;&#1088;&#1072;&#1074;&#1072;.&#1088;&#1092;/pasport_gosudarstvennogo_etalona_edinic_velichin_ispolzuemyx_v_sfere_gosudarstvennogo_regulirovaniya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7;&#1086;&#1088;&#1103;&#1076;&#1086;&#1082;&#1087;&#1088;&#1072;&#1074;&#1072;.&#1088;&#1092;" TargetMode="External"/><Relationship Id="rId5" Type="http://schemas.openxmlformats.org/officeDocument/2006/relationships/image" Target="http://&#1087;&#1086;&#1088;&#1103;&#1076;&#1086;&#1082;&#1087;&#1088;&#1072;&#1074;&#1072;.&#1088;&#1092;/images/pic3.png" TargetMode="External"/><Relationship Id="rId4" Type="http://schemas.openxmlformats.org/officeDocument/2006/relationships/image" Target="http://&#1087;&#1086;&#1088;&#1103;&#1076;&#1086;&#1082;&#1087;&#1088;&#1072;&#1074;&#1072;.&#1088;&#1092;/images/pic2.p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953</Words>
  <Characters>5435</Characters>
  <Application>Microsoft Office Word</Application>
  <DocSecurity>0</DocSecurity>
  <Lines>45</Lines>
  <Paragraphs>12</Paragraphs>
  <ScaleCrop>false</ScaleCrop>
  <Company/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государственного эталона единиц величин, используемых в сфере государственного регулирования обеспечения единства измерений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2022-08-12T04:49:00Z</dcterms:created>
  <dcterms:modified xsi:type="dcterms:W3CDTF">2022-08-12T04:49:00Z</dcterms:modified>
</cp:coreProperties>
</file>