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3A4256">
      <w:pPr>
        <w:pStyle w:val="1"/>
        <w:rPr>
          <w:rFonts w:eastAsia="Times New Roman"/>
        </w:rPr>
      </w:pPr>
      <w:r>
        <w:rPr>
          <w:rFonts w:eastAsia="Times New Roman"/>
        </w:rPr>
        <w:t xml:space="preserve">Формы, используемые для учета данных первичной информации по всем прекращениям передачи </w:t>
      </w:r>
      <w:r>
        <w:rPr>
          <w:rFonts w:eastAsia="Times New Roman"/>
        </w:rPr>
        <w:t>электрической энергии, произошедшим на объектах электросетевых организаций для определения индикативных показателей надежности оказываемых услуг электросетевыми организациями. Расчет индикативного показателя уровня надежности оказываемых услуг территориаль</w:t>
      </w:r>
      <w:r>
        <w:rPr>
          <w:rFonts w:eastAsia="Times New Roman"/>
        </w:rPr>
        <w:t>ной сетевой организацией на основе средней продолжительности нарушения электроснабжения потребителей и средней частоты прерывания электроснабжения потребителей. Форма № 8.3 (образец)</w:t>
      </w:r>
    </w:p>
    <w:p w:rsidR="00000000" w:rsidRDefault="003A4256">
      <w:pPr>
        <w:pStyle w:val="right"/>
      </w:pPr>
      <w:r>
        <w:t>Приложение N 8 к Методическим указаниям по расчету уровня надежности и ка</w:t>
      </w:r>
      <w:r>
        <w:t xml:space="preserve">чества поставляемых товаров и оказываемых услуг для организации по управлению единой национальной (общероссийской) электрической сетью и территориальных сетевых организаций </w:t>
      </w:r>
    </w:p>
    <w:p w:rsidR="00000000" w:rsidRDefault="003A4256">
      <w:pPr>
        <w:pStyle w:val="right"/>
      </w:pPr>
      <w:r>
        <w:t>(Образец)</w:t>
      </w:r>
    </w:p>
    <w:p w:rsidR="00000000" w:rsidRDefault="003A4256">
      <w:pPr>
        <w:spacing w:after="240"/>
        <w:rPr>
          <w:rFonts w:ascii="Times New Roman" w:eastAsia="Times New Roman" w:hAnsi="Times New Roman"/>
          <w:sz w:val="24"/>
          <w:szCs w:val="24"/>
        </w:rPr>
      </w:pPr>
    </w:p>
    <w:p w:rsidR="00000000" w:rsidRDefault="003A4256">
      <w:pPr>
        <w:pStyle w:val="HTML"/>
      </w:pPr>
      <w:r>
        <w:t xml:space="preserve">            Форма 8.3 - Расчет индикативного показателя уровня</w:t>
      </w:r>
    </w:p>
    <w:p w:rsidR="00000000" w:rsidRDefault="003A4256">
      <w:pPr>
        <w:pStyle w:val="HTML"/>
      </w:pPr>
      <w:r>
        <w:t>надежнос</w:t>
      </w:r>
      <w:r>
        <w:t>ти оказываемых услуг территориальной сетевой</w:t>
      </w:r>
    </w:p>
    <w:p w:rsidR="00000000" w:rsidRDefault="003A4256">
      <w:pPr>
        <w:pStyle w:val="HTML"/>
      </w:pPr>
      <w:r>
        <w:t>организацией на основе средней продолжительности нарушения</w:t>
      </w:r>
    </w:p>
    <w:p w:rsidR="00000000" w:rsidRDefault="003A4256">
      <w:pPr>
        <w:pStyle w:val="HTML"/>
      </w:pPr>
      <w:r>
        <w:t>электроснабжения потребителей и средней частоты прерывания</w:t>
      </w:r>
    </w:p>
    <w:p w:rsidR="00000000" w:rsidRDefault="003A4256">
      <w:pPr>
        <w:pStyle w:val="HTML"/>
      </w:pPr>
      <w:r>
        <w:t>электроснабжения потребителей</w:t>
      </w:r>
    </w:p>
    <w:p w:rsidR="00000000" w:rsidRDefault="003A4256">
      <w:pPr>
        <w:pStyle w:val="HTML"/>
      </w:pPr>
    </w:p>
    <w:p w:rsidR="00000000" w:rsidRDefault="003A4256">
      <w:pPr>
        <w:pStyle w:val="HTML"/>
      </w:pPr>
      <w:r>
        <w:t>______________________________________________________________</w:t>
      </w:r>
      <w:r>
        <w:t>_____________</w:t>
      </w:r>
    </w:p>
    <w:p w:rsidR="00000000" w:rsidRDefault="003A4256">
      <w:pPr>
        <w:pStyle w:val="HTML"/>
      </w:pPr>
      <w:r>
        <w:t>Наименование электросетевой организации</w:t>
      </w:r>
    </w:p>
    <w:p w:rsidR="00000000" w:rsidRDefault="003A4256">
      <w:pPr>
        <w:spacing w:after="240"/>
        <w:rPr>
          <w:rFonts w:ascii="Times New Roman" w:eastAsia="Times New Roman" w:hAnsi="Times New Roman"/>
          <w:sz w:val="24"/>
          <w:szCs w:val="24"/>
        </w:rPr>
      </w:pPr>
    </w:p>
    <w:p w:rsidR="00000000" w:rsidRDefault="003A4256">
      <w:pPr>
        <w:pStyle w:val="3"/>
        <w:rPr>
          <w:rFonts w:eastAsia="Times New Roman"/>
        </w:rPr>
      </w:pPr>
      <w:r>
        <w:rPr>
          <w:rFonts w:eastAsia="Times New Roman"/>
        </w:rPr>
        <w:t>N п/п Наименование составляющей показателя Метод определения 1</w:t>
      </w:r>
    </w:p>
    <w:p w:rsidR="00000000" w:rsidRDefault="003A4256">
      <w:pPr>
        <w:pStyle w:val="left"/>
      </w:pPr>
      <w:r>
        <w:lastRenderedPageBreak/>
        <w:t>Максимальное количество потребителей услуг по передаче электрической энергии (включая потребителей электрической энергии, обслуживаемых эн</w:t>
      </w:r>
      <w:r>
        <w:t>ергосбытовыми организациями (гарантирующими поставщиками), энергопринимающие устройства которых непосредственно присоединены к объектам электросетевого хозяйства сетевой организации), обслуживаемых электросетевой организацией в рамках расчетного периода, ш</w:t>
      </w:r>
      <w:r>
        <w:t>т.</w:t>
      </w:r>
    </w:p>
    <w:p w:rsidR="00000000" w:rsidRDefault="003A4256">
      <w:pPr>
        <w:pStyle w:val="3"/>
        <w:rPr>
          <w:rFonts w:eastAsia="Times New Roman"/>
        </w:rPr>
      </w:pPr>
      <w:r>
        <w:rPr>
          <w:rFonts w:eastAsia="Times New Roman"/>
        </w:rPr>
        <w:t>В соответствии с заключенными договорами по передаче электроэнергии 1.1</w:t>
      </w:r>
    </w:p>
    <w:p w:rsidR="00000000" w:rsidRDefault="003A4256">
      <w:pPr>
        <w:pStyle w:val="left"/>
      </w:pPr>
      <w:r>
        <w:t>Максимальное количество потребителей электроэнергии, обслуживаемых электросетевой организацией в рамках расчетного периода (включая потребителей электрической энергии, обслуживаемых</w:t>
      </w:r>
      <w:r>
        <w:t xml:space="preserve"> энергосбытовыми организациями (гарантирующими поставщиками), энергопринимающие устройства которых непосредственно присоединены к объектам электросетевого хозяйства сетевой организации), шт.</w:t>
      </w:r>
    </w:p>
    <w:p w:rsidR="00000000" w:rsidRDefault="003A4256">
      <w:pPr>
        <w:pStyle w:val="3"/>
        <w:rPr>
          <w:rFonts w:eastAsia="Times New Roman"/>
        </w:rPr>
      </w:pPr>
      <w:r>
        <w:rPr>
          <w:rFonts w:eastAsia="Times New Roman"/>
        </w:rPr>
        <w:t>В соответствии с заключенными договорами по передаче электроэнерг</w:t>
      </w:r>
      <w:r>
        <w:rPr>
          <w:rFonts w:eastAsia="Times New Roman"/>
        </w:rPr>
        <w:t>ии 2</w:t>
      </w:r>
    </w:p>
    <w:p w:rsidR="00000000" w:rsidRDefault="003A4256">
      <w:pPr>
        <w:pStyle w:val="left"/>
      </w:pPr>
      <w:r>
        <w:t>Максимальное за расчетный период регулирования число точек поставки электросетевой организации, шт.</w:t>
      </w:r>
    </w:p>
    <w:p w:rsidR="00000000" w:rsidRDefault="003A4256">
      <w:pPr>
        <w:pStyle w:val="3"/>
        <w:rPr>
          <w:rFonts w:eastAsia="Times New Roman"/>
        </w:rPr>
      </w:pPr>
      <w:r>
        <w:rPr>
          <w:rFonts w:eastAsia="Times New Roman"/>
        </w:rPr>
        <w:t>В соответствии с заключенными договорами по передаче электроэнергии 3</w:t>
      </w:r>
    </w:p>
    <w:p w:rsidR="00000000" w:rsidRDefault="003A4256">
      <w:pPr>
        <w:pStyle w:val="left"/>
      </w:pPr>
      <w:r>
        <w:t>Средняя продолжительность нарушения электроснабжения потребителей (</w:t>
      </w:r>
      <w:r>
        <w:rPr>
          <w:noProof/>
        </w:rPr>
        <w:drawing>
          <wp:inline distT="0" distB="0" distL="0" distR="0">
            <wp:extent cx="373380" cy="228600"/>
            <wp:effectExtent l="0" t="0" r="7620" b="0"/>
            <wp:docPr id="4" name="Рисунок 4" descr="Обознач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означение"/>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73380" cy="228600"/>
                    </a:xfrm>
                    <a:prstGeom prst="rect">
                      <a:avLst/>
                    </a:prstGeom>
                    <a:noFill/>
                    <a:ln>
                      <a:noFill/>
                    </a:ln>
                  </pic:spPr>
                </pic:pic>
              </a:graphicData>
            </a:graphic>
          </wp:inline>
        </w:drawing>
      </w:r>
      <w:r>
        <w:t>), час.</w:t>
      </w:r>
    </w:p>
    <w:p w:rsidR="00000000" w:rsidRDefault="003A4256">
      <w:pPr>
        <w:pStyle w:val="3"/>
        <w:rPr>
          <w:rFonts w:eastAsia="Times New Roman"/>
        </w:rPr>
      </w:pPr>
      <w:r>
        <w:rPr>
          <w:rFonts w:eastAsia="Times New Roman"/>
        </w:rPr>
        <w:t>сумма произведений по столбцу 32 и столбцу 28 Формы 8.1, деленная на значение пункта 1 Формы 8.3 ((</w:t>
      </w:r>
      <w:r>
        <w:rPr>
          <w:rFonts w:eastAsia="Times New Roman"/>
          <w:noProof/>
        </w:rPr>
        <w:drawing>
          <wp:inline distT="0" distB="0" distL="0" distR="0">
            <wp:extent cx="152400" cy="220980"/>
            <wp:effectExtent l="0" t="0" r="0" b="7620"/>
            <wp:docPr id="3" name="Рисунок 3" descr="Обознач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означение"/>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r>
        <w:rPr>
          <w:rFonts w:eastAsia="Times New Roman"/>
        </w:rPr>
        <w:t xml:space="preserve"> столбец 32 * столбец 28) / пункт 1 Формы 8.3) 4</w:t>
      </w:r>
    </w:p>
    <w:p w:rsidR="00000000" w:rsidRDefault="003A4256">
      <w:pPr>
        <w:pStyle w:val="left"/>
      </w:pPr>
      <w:r>
        <w:t>Средняя частота прерывания электроснабжения потребителей (</w:t>
      </w:r>
      <w:r>
        <w:rPr>
          <w:noProof/>
        </w:rPr>
        <w:drawing>
          <wp:inline distT="0" distB="0" distL="0" distR="0">
            <wp:extent cx="335280" cy="228600"/>
            <wp:effectExtent l="0" t="0" r="7620" b="0"/>
            <wp:docPr id="2" name="Рисунок 2" descr="Обознач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означение"/>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35280" cy="228600"/>
                    </a:xfrm>
                    <a:prstGeom prst="rect">
                      <a:avLst/>
                    </a:prstGeom>
                    <a:noFill/>
                    <a:ln>
                      <a:noFill/>
                    </a:ln>
                  </pic:spPr>
                </pic:pic>
              </a:graphicData>
            </a:graphic>
          </wp:inline>
        </w:drawing>
      </w:r>
      <w:r>
        <w:t>), шт.</w:t>
      </w:r>
    </w:p>
    <w:p w:rsidR="00000000" w:rsidRDefault="003A4256">
      <w:pPr>
        <w:pStyle w:val="3"/>
        <w:rPr>
          <w:rFonts w:eastAsia="Times New Roman"/>
        </w:rPr>
      </w:pPr>
      <w:r>
        <w:rPr>
          <w:rFonts w:eastAsia="Times New Roman"/>
        </w:rPr>
        <w:t>сумма по столбцу 28 Формы 8.1 и деленная на значение пункта 1 Формы 8.3 (</w:t>
      </w:r>
      <w:r>
        <w:rPr>
          <w:rFonts w:eastAsia="Times New Roman"/>
          <w:noProof/>
        </w:rPr>
        <w:drawing>
          <wp:inline distT="0" distB="0" distL="0" distR="0">
            <wp:extent cx="152400" cy="220980"/>
            <wp:effectExtent l="0" t="0" r="0" b="7620"/>
            <wp:docPr id="1" name="Рисунок 1" descr="Обознач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означение"/>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r>
        <w:rPr>
          <w:rFonts w:eastAsia="Times New Roman"/>
        </w:rPr>
        <w:t xml:space="preserve"> столбец 28 Формы 8.1 / пункт 1 Формы 8.3)</w:t>
      </w:r>
    </w:p>
    <w:p w:rsidR="00000000" w:rsidRDefault="003A4256">
      <w:pPr>
        <w:pStyle w:val="HTML"/>
      </w:pPr>
      <w:r>
        <w:t>___________________________________________________________________________</w:t>
      </w:r>
    </w:p>
    <w:p w:rsidR="00000000" w:rsidRDefault="003A4256">
      <w:pPr>
        <w:pStyle w:val="HTML"/>
      </w:pPr>
      <w:r>
        <w:t>Должность                   Ф.И.О.                Подпись</w:t>
      </w:r>
    </w:p>
    <w:p w:rsidR="00000000" w:rsidRDefault="003A4256">
      <w:pPr>
        <w:spacing w:after="240"/>
        <w:rPr>
          <w:rFonts w:ascii="Times New Roman" w:eastAsia="Times New Roman" w:hAnsi="Times New Roman"/>
          <w:sz w:val="24"/>
          <w:szCs w:val="24"/>
        </w:rPr>
      </w:pPr>
    </w:p>
    <w:p w:rsidR="00000000" w:rsidRDefault="003A4256">
      <w:pPr>
        <w:pStyle w:val="right"/>
      </w:pPr>
      <w:r>
        <w:t>Источник - Приказ Минэнерго России от 14.10.2013 № 718</w:t>
      </w:r>
    </w:p>
    <w:p w:rsidR="00000000" w:rsidRDefault="003A4256">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xml:space="preserve">Сохраните в закладки наш сайт: </w:t>
      </w:r>
      <w:hyperlink r:id="rId8"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 xml:space="preserve">Прямая ссылка на документ: </w:t>
      </w:r>
      <w:hyperlink r:id="rId9" w:history="1">
        <w:r>
          <w:rPr>
            <w:rStyle w:val="a3"/>
            <w:rFonts w:ascii="Times New Roman" w:eastAsia="Times New Roman" w:hAnsi="Times New Roman"/>
            <w:sz w:val="24"/>
            <w:szCs w:val="24"/>
          </w:rPr>
          <w:t>https://порядокправа.рф/obrazecy/formy_ispolzuemye_dlya_ucheta_dannyx_pervichnoj_informacii_po_vsem_prekrashheniyam_peredachi_elektrichesko.htm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A4256"/>
    <w:rsid w:val="003A4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D3C1AFEF-5ED8-4028-BEF1-13DB07A2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1"/>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locked/>
    <w:rPr>
      <w:rFonts w:ascii="Consolas" w:eastAsia="Verdana" w:hAnsi="Consolas" w:cs="Mangal" w:hint="default"/>
      <w:szCs w:val="18"/>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right">
    <w:name w:val="right"/>
    <w:basedOn w:val="a"/>
    <w:pPr>
      <w:spacing w:before="100" w:beforeAutospacing="1" w:after="100" w:afterAutospacing="1"/>
    </w:pPr>
    <w:rPr>
      <w:rFonts w:ascii="Times New Roman" w:eastAsiaTheme="minorEastAsia" w:hAnsi="Times New Roman"/>
      <w:sz w:val="24"/>
      <w:szCs w:val="24"/>
    </w:rPr>
  </w:style>
  <w:style w:type="paragraph" w:customStyle="1" w:styleId="left">
    <w:name w:val="left"/>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87;&#1086;&#1088;&#1103;&#1076;&#1086;&#1082;&#1087;&#1088;&#1072;&#1074;&#1072;.&#1088;&#1092;" TargetMode="External"/><Relationship Id="rId3" Type="http://schemas.openxmlformats.org/officeDocument/2006/relationships/webSettings" Target="webSettings.xml"/><Relationship Id="rId7" Type="http://schemas.openxmlformats.org/officeDocument/2006/relationships/image" Target="http://&#1087;&#1086;&#1088;&#1103;&#1076;&#1086;&#1082;&#1087;&#1088;&#1072;&#1074;&#1072;.&#1088;&#1092;/images/pic32.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1087;&#1086;&#1088;&#1103;&#1076;&#1086;&#1082;&#1087;&#1088;&#1072;&#1074;&#1072;.&#1088;&#1092;/images/pic31.png" TargetMode="External"/><Relationship Id="rId11" Type="http://schemas.openxmlformats.org/officeDocument/2006/relationships/theme" Target="theme/theme1.xml"/><Relationship Id="rId5" Type="http://schemas.openxmlformats.org/officeDocument/2006/relationships/image" Target="http://&#1087;&#1086;&#1088;&#1103;&#1076;&#1086;&#1082;&#1087;&#1088;&#1072;&#1074;&#1072;.&#1088;&#1092;/images/pic30.png" TargetMode="External"/><Relationship Id="rId10" Type="http://schemas.openxmlformats.org/officeDocument/2006/relationships/fontTable" Target="fontTable.xml"/><Relationship Id="rId4" Type="http://schemas.openxmlformats.org/officeDocument/2006/relationships/image" Target="http://&#1087;&#1086;&#1088;&#1103;&#1076;&#1086;&#1082;&#1087;&#1088;&#1072;&#1074;&#1072;.&#1088;&#1092;/images/pic29.png" TargetMode="External"/><Relationship Id="rId9" Type="http://schemas.openxmlformats.org/officeDocument/2006/relationships/hyperlink" Target="https://&#1087;&#1086;&#1088;&#1103;&#1076;&#1086;&#1082;&#1087;&#1088;&#1072;&#1074;&#1072;.&#1088;&#1092;/formy_ispolzuemye_dlya_ucheta_dannyx_pervichnoj_informacii_po_vsem_prekrashheniyam_peredachi_elektrichesko.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Формы, используемые для учета данных первичной информации по всем прекращениям передачи электрической энергии, произошедшим на объектах электросетевых организаций для определения индикативных показателей надежности оказываемых услуг электросетевыми организациями. Расчет индикативного показателя уровня надежности оказываемых услуг территориальной сетевой организацией на основе средней продолжительности нарушения электроснабжения потребителей и средней частоты прерывания электроснабжения потребителей. Форма № 8.3 (образец) - DOC</dc:title>
  <dc:subject/>
  <dc:creator>Максим Давыдченков</dc:creator>
  <cp:keywords/>
  <dc:description/>
  <cp:lastModifiedBy>Максим Давыдченков</cp:lastModifiedBy>
  <cp:revision>2</cp:revision>
  <dcterms:created xsi:type="dcterms:W3CDTF">2022-08-08T10:40:00Z</dcterms:created>
  <dcterms:modified xsi:type="dcterms:W3CDTF">2022-08-08T10:40:00Z</dcterms:modified>
</cp:coreProperties>
</file>