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320B">
      <w:pPr>
        <w:pStyle w:val="1"/>
        <w:rPr>
          <w:rFonts w:eastAsia="Times New Roman"/>
        </w:rPr>
      </w:pPr>
      <w:r>
        <w:rPr>
          <w:rFonts w:eastAsia="Times New Roman"/>
        </w:rPr>
        <w:t xml:space="preserve">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</w:t>
      </w:r>
      <w:r>
        <w:rPr>
          <w:rFonts w:eastAsia="Times New Roman"/>
        </w:rPr>
        <w:t>спирта и производства пива, пивных напитков, сидра, пуаре и медовухи</w:t>
      </w:r>
    </w:p>
    <w:p w:rsidR="00000000" w:rsidRDefault="004F320B">
      <w:pPr>
        <w:pStyle w:val="right"/>
      </w:pPr>
      <w:r>
        <w:t>Приложение к Правилам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</w:t>
      </w:r>
      <w:r>
        <w:t>ем этилового спирта и производства пива, пивных напитков, сидра, пуаре и медовухи</w:t>
      </w:r>
    </w:p>
    <w:p w:rsidR="00000000" w:rsidRDefault="004F32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320B">
      <w:pPr>
        <w:pStyle w:val="3"/>
        <w:rPr>
          <w:rFonts w:eastAsia="Times New Roman"/>
        </w:rPr>
      </w:pPr>
      <w:r>
        <w:rPr>
          <w:rFonts w:eastAsia="Times New Roman"/>
        </w:rPr>
        <w:t>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</w:t>
      </w:r>
      <w:r>
        <w:rPr>
          <w:rFonts w:eastAsia="Times New Roman"/>
        </w:rPr>
        <w:t xml:space="preserve"> и производства пива, пивных напитков, сидра, пуаре и медовухи</w:t>
      </w:r>
    </w:p>
    <w:p w:rsidR="00000000" w:rsidRDefault="004F320B">
      <w:pPr>
        <w:pStyle w:val="left"/>
      </w:pPr>
      <w:r>
        <w:t>Номер</w:t>
      </w:r>
    </w:p>
    <w:p w:rsidR="00000000" w:rsidRDefault="004F320B">
      <w:pPr>
        <w:pStyle w:val="left"/>
      </w:pPr>
      <w:r>
        <w:t>Дата внесения записи</w:t>
      </w:r>
    </w:p>
    <w:p w:rsidR="00000000" w:rsidRDefault="004F320B">
      <w:pPr>
        <w:pStyle w:val="left"/>
      </w:pPr>
      <w:r>
        <w:t>Наименование организации, организационно правовая форма организации</w:t>
      </w:r>
    </w:p>
    <w:p w:rsidR="00000000" w:rsidRDefault="004F320B">
      <w:pPr>
        <w:pStyle w:val="left"/>
      </w:pPr>
      <w:r>
        <w:t>ИНН организации</w:t>
      </w:r>
    </w:p>
    <w:p w:rsidR="00000000" w:rsidRDefault="004F320B">
      <w:pPr>
        <w:pStyle w:val="left"/>
      </w:pPr>
      <w:r>
        <w:t>Адрес (место нахождения) организации</w:t>
      </w:r>
    </w:p>
    <w:p w:rsidR="00000000" w:rsidRDefault="004F320B">
      <w:pPr>
        <w:pStyle w:val="left"/>
      </w:pPr>
      <w:r>
        <w:t xml:space="preserve">Место нахождения обособленного подразделения </w:t>
      </w:r>
      <w:r>
        <w:t>организации (адрес места осуществления лицензируемого вида деятельности)</w:t>
      </w:r>
    </w:p>
    <w:p w:rsidR="00000000" w:rsidRDefault="004F320B">
      <w:pPr>
        <w:pStyle w:val="left"/>
      </w:pPr>
      <w:r>
        <w:t>Вид лицензируемой деятельности организации</w:t>
      </w:r>
    </w:p>
    <w:p w:rsidR="00000000" w:rsidRDefault="004F320B">
      <w:pPr>
        <w:pStyle w:val="left"/>
      </w:pPr>
      <w:r>
        <w:t>Номер лицензии</w:t>
      </w:r>
    </w:p>
    <w:p w:rsidR="00000000" w:rsidRDefault="004F320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320B">
      <w:pPr>
        <w:pStyle w:val="left"/>
      </w:pPr>
      <w:r>
        <w:t>Дата выдачи лицензии</w:t>
      </w:r>
    </w:p>
    <w:p w:rsidR="00000000" w:rsidRDefault="004F320B">
      <w:pPr>
        <w:pStyle w:val="left"/>
      </w:pPr>
      <w:r>
        <w:t>Дата окончания лицензии</w:t>
      </w:r>
    </w:p>
    <w:p w:rsidR="00000000" w:rsidRDefault="004F320B">
      <w:pPr>
        <w:pStyle w:val="left"/>
      </w:pPr>
      <w:r>
        <w:t>Сведения о действии, приостановлении или обаннулировании лицензии</w:t>
      </w:r>
    </w:p>
    <w:p w:rsidR="00000000" w:rsidRDefault="004F320B">
      <w:pPr>
        <w:pStyle w:val="left"/>
      </w:pPr>
      <w:r>
        <w:lastRenderedPageBreak/>
        <w:t>Вид продукции</w:t>
      </w:r>
    </w:p>
    <w:p w:rsidR="00000000" w:rsidRDefault="004F320B">
      <w:pPr>
        <w:pStyle w:val="left"/>
      </w:pPr>
      <w:r>
        <w:t>Производственная мощность организации, указанная в лицензии (декалитров в год)</w:t>
      </w:r>
    </w:p>
    <w:p w:rsidR="00000000" w:rsidRDefault="004F320B">
      <w:pPr>
        <w:pStyle w:val="left"/>
      </w:pPr>
      <w:r>
        <w:t>Изменение производственной мощности</w:t>
      </w:r>
    </w:p>
    <w:p w:rsidR="00000000" w:rsidRDefault="004F320B">
      <w:pPr>
        <w:pStyle w:val="left"/>
      </w:pPr>
      <w:r>
        <w:t>Консервация основного технологического оборудования</w:t>
      </w:r>
    </w:p>
    <w:p w:rsidR="00000000" w:rsidRDefault="004F320B">
      <w:pPr>
        <w:pStyle w:val="left"/>
      </w:pPr>
      <w:r>
        <w:t>Итоговая производственная мощ-ность (декалитров в год)</w:t>
      </w:r>
    </w:p>
    <w:p w:rsidR="00000000" w:rsidRDefault="004F320B">
      <w:pPr>
        <w:pStyle w:val="left"/>
      </w:pPr>
      <w:r>
        <w:t>приостановление и возобновление и</w:t>
      </w:r>
      <w:r>
        <w:t>спользования основного технологического оборудования</w:t>
      </w:r>
    </w:p>
    <w:p w:rsidR="00000000" w:rsidRDefault="004F320B">
      <w:pPr>
        <w:pStyle w:val="left"/>
      </w:pPr>
      <w:r>
        <w:t>увеличение производственной мощности</w:t>
      </w:r>
    </w:p>
    <w:p w:rsidR="00000000" w:rsidRDefault="004F320B">
      <w:pPr>
        <w:pStyle w:val="left"/>
      </w:pPr>
      <w:r>
        <w:t>уменьшение производственной мощности</w:t>
      </w:r>
    </w:p>
    <w:p w:rsidR="00000000" w:rsidRDefault="004F320B">
      <w:pPr>
        <w:pStyle w:val="left"/>
      </w:pPr>
      <w:r>
        <w:t>в целом по организации</w:t>
      </w:r>
    </w:p>
    <w:p w:rsidR="00000000" w:rsidRDefault="004F320B">
      <w:pPr>
        <w:pStyle w:val="left"/>
      </w:pPr>
      <w:r>
        <w:t>по обособленным подразделениям</w:t>
      </w:r>
    </w:p>
    <w:p w:rsidR="00000000" w:rsidRDefault="004F320B">
      <w:pPr>
        <w:pStyle w:val="left"/>
      </w:pPr>
      <w:r>
        <w:t>номер и дата уведомления</w:t>
      </w:r>
    </w:p>
    <w:p w:rsidR="00000000" w:rsidRDefault="004F320B">
      <w:pPr>
        <w:pStyle w:val="left"/>
      </w:pPr>
      <w:r>
        <w:t>производственная мощность при приостановлении (дек</w:t>
      </w:r>
      <w:r>
        <w:t>алитров в год)</w:t>
      </w:r>
    </w:p>
    <w:p w:rsidR="00000000" w:rsidRDefault="004F320B">
      <w:pPr>
        <w:pStyle w:val="left"/>
      </w:pPr>
      <w:r>
        <w:t>производственная мощность при возобновлении (декалитро в в год)</w:t>
      </w:r>
    </w:p>
    <w:p w:rsidR="00000000" w:rsidRDefault="004F320B">
      <w:pPr>
        <w:pStyle w:val="left"/>
      </w:pPr>
      <w:r>
        <w:t>номер и дата решения о допустимости использования основного технологического оборудования</w:t>
      </w:r>
    </w:p>
    <w:p w:rsidR="00000000" w:rsidRDefault="004F320B">
      <w:pPr>
        <w:pStyle w:val="left"/>
      </w:pPr>
      <w:r>
        <w:t xml:space="preserve">производственная мощность при вводе нового основного </w:t>
      </w:r>
      <w:r>
        <w:t>технологического оборудования (декалитров в год)</w:t>
      </w:r>
    </w:p>
    <w:p w:rsidR="00000000" w:rsidRDefault="004F320B">
      <w:pPr>
        <w:pStyle w:val="left"/>
      </w:pPr>
      <w:r>
        <w:t>номер и дата решения о переоформлении лицензии</w:t>
      </w:r>
    </w:p>
    <w:p w:rsidR="00000000" w:rsidRDefault="004F320B">
      <w:pPr>
        <w:pStyle w:val="left"/>
      </w:pPr>
      <w:r>
        <w:t>производственная мощность при выводе основного технологического оборудования (декалитров в год)</w:t>
      </w:r>
    </w:p>
    <w:p w:rsidR="00000000" w:rsidRDefault="004F320B">
      <w:pPr>
        <w:pStyle w:val="left"/>
      </w:pPr>
      <w:r>
        <w:t>дата консервации</w:t>
      </w:r>
    </w:p>
    <w:p w:rsidR="00000000" w:rsidRDefault="004F320B">
      <w:pPr>
        <w:pStyle w:val="left"/>
      </w:pPr>
      <w:r>
        <w:t>производственная мощность законсервированного о</w:t>
      </w:r>
      <w:r>
        <w:t>сновного технологического оборудования (декалитров в год)</w:t>
      </w:r>
    </w:p>
    <w:p w:rsidR="00000000" w:rsidRDefault="004F320B">
      <w:pPr>
        <w:pStyle w:val="left"/>
      </w:pPr>
      <w:r>
        <w:t>в целом по организации</w:t>
      </w:r>
    </w:p>
    <w:p w:rsidR="00000000" w:rsidRDefault="004F320B">
      <w:pPr>
        <w:pStyle w:val="left"/>
      </w:pPr>
      <w:r>
        <w:t>по обособленным подразделениям</w:t>
      </w:r>
    </w:p>
    <w:p w:rsidR="00000000" w:rsidRDefault="004F320B">
      <w:pPr>
        <w:pStyle w:val="left"/>
      </w:pPr>
      <w:r>
        <w:t>1</w:t>
      </w:r>
    </w:p>
    <w:p w:rsidR="00000000" w:rsidRDefault="004F320B">
      <w:pPr>
        <w:pStyle w:val="left"/>
      </w:pPr>
      <w:r>
        <w:t>2</w:t>
      </w:r>
    </w:p>
    <w:p w:rsidR="00000000" w:rsidRDefault="004F320B">
      <w:pPr>
        <w:pStyle w:val="left"/>
      </w:pPr>
      <w:r>
        <w:t>3</w:t>
      </w:r>
    </w:p>
    <w:p w:rsidR="00000000" w:rsidRDefault="004F320B">
      <w:pPr>
        <w:pStyle w:val="left"/>
      </w:pPr>
      <w:r>
        <w:t>4</w:t>
      </w:r>
    </w:p>
    <w:p w:rsidR="00000000" w:rsidRDefault="004F320B">
      <w:pPr>
        <w:pStyle w:val="left"/>
      </w:pPr>
      <w:r>
        <w:t>5</w:t>
      </w:r>
    </w:p>
    <w:p w:rsidR="00000000" w:rsidRDefault="004F320B">
      <w:pPr>
        <w:pStyle w:val="left"/>
      </w:pPr>
      <w:r>
        <w:t>6</w:t>
      </w:r>
    </w:p>
    <w:p w:rsidR="00000000" w:rsidRDefault="004F320B">
      <w:pPr>
        <w:pStyle w:val="left"/>
      </w:pPr>
      <w:r>
        <w:t>7</w:t>
      </w:r>
    </w:p>
    <w:p w:rsidR="00000000" w:rsidRDefault="004F320B">
      <w:pPr>
        <w:pStyle w:val="left"/>
      </w:pPr>
      <w:r>
        <w:t>8</w:t>
      </w:r>
    </w:p>
    <w:p w:rsidR="00000000" w:rsidRDefault="004F320B">
      <w:pPr>
        <w:pStyle w:val="left"/>
      </w:pPr>
      <w:r>
        <w:t>9</w:t>
      </w:r>
    </w:p>
    <w:p w:rsidR="00000000" w:rsidRDefault="004F320B">
      <w:pPr>
        <w:pStyle w:val="left"/>
      </w:pPr>
      <w:r>
        <w:t>10</w:t>
      </w:r>
    </w:p>
    <w:p w:rsidR="00000000" w:rsidRDefault="004F320B">
      <w:pPr>
        <w:pStyle w:val="left"/>
      </w:pPr>
      <w:r>
        <w:t>11</w:t>
      </w:r>
    </w:p>
    <w:p w:rsidR="00000000" w:rsidRDefault="004F320B">
      <w:pPr>
        <w:pStyle w:val="left"/>
      </w:pPr>
      <w:r>
        <w:t>12</w:t>
      </w:r>
    </w:p>
    <w:p w:rsidR="00000000" w:rsidRDefault="004F320B">
      <w:pPr>
        <w:pStyle w:val="left"/>
      </w:pPr>
      <w:r>
        <w:t>13</w:t>
      </w:r>
    </w:p>
    <w:p w:rsidR="00000000" w:rsidRDefault="004F320B">
      <w:pPr>
        <w:pStyle w:val="left"/>
      </w:pPr>
      <w:r>
        <w:t>14</w:t>
      </w:r>
    </w:p>
    <w:p w:rsidR="00000000" w:rsidRDefault="004F320B">
      <w:pPr>
        <w:pStyle w:val="left"/>
      </w:pPr>
      <w:r>
        <w:t>15</w:t>
      </w:r>
    </w:p>
    <w:p w:rsidR="00000000" w:rsidRDefault="004F320B">
      <w:pPr>
        <w:pStyle w:val="left"/>
      </w:pPr>
      <w:r>
        <w:t>16</w:t>
      </w:r>
    </w:p>
    <w:p w:rsidR="00000000" w:rsidRDefault="004F320B">
      <w:pPr>
        <w:pStyle w:val="left"/>
      </w:pPr>
      <w:r>
        <w:t>17</w:t>
      </w:r>
    </w:p>
    <w:p w:rsidR="00000000" w:rsidRDefault="004F320B">
      <w:pPr>
        <w:pStyle w:val="left"/>
      </w:pPr>
      <w:r>
        <w:t>18</w:t>
      </w:r>
    </w:p>
    <w:p w:rsidR="00000000" w:rsidRDefault="004F320B">
      <w:pPr>
        <w:pStyle w:val="left"/>
      </w:pPr>
      <w:r>
        <w:t>19</w:t>
      </w:r>
    </w:p>
    <w:p w:rsidR="00000000" w:rsidRDefault="004F320B">
      <w:pPr>
        <w:pStyle w:val="left"/>
      </w:pPr>
      <w:r>
        <w:t>20</w:t>
      </w:r>
    </w:p>
    <w:p w:rsidR="00000000" w:rsidRDefault="004F320B">
      <w:pPr>
        <w:pStyle w:val="left"/>
      </w:pPr>
      <w:r>
        <w:t>21</w:t>
      </w:r>
    </w:p>
    <w:p w:rsidR="00000000" w:rsidRDefault="004F320B">
      <w:pPr>
        <w:pStyle w:val="left"/>
      </w:pPr>
      <w:r>
        <w:t>22</w:t>
      </w:r>
    </w:p>
    <w:p w:rsidR="00000000" w:rsidRDefault="004F320B">
      <w:pPr>
        <w:pStyle w:val="left"/>
      </w:pPr>
      <w:r>
        <w:t>23</w:t>
      </w:r>
    </w:p>
    <w:p w:rsidR="00000000" w:rsidRDefault="004F320B">
      <w:pPr>
        <w:pStyle w:val="left"/>
      </w:pPr>
      <w:r>
        <w:t>24</w:t>
      </w:r>
    </w:p>
    <w:p w:rsidR="00000000" w:rsidRDefault="004F320B">
      <w:pPr>
        <w:pStyle w:val="left"/>
      </w:pPr>
      <w:r>
        <w:t>25</w:t>
      </w:r>
    </w:p>
    <w:p w:rsidR="00000000" w:rsidRDefault="004F32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F320B">
      <w:pPr>
        <w:pStyle w:val="left"/>
      </w:pPr>
      <w:r>
        <w:t>ИТОГО</w:t>
      </w:r>
    </w:p>
    <w:p w:rsidR="00000000" w:rsidRDefault="004F320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4F320B">
      <w:pPr>
        <w:pStyle w:val="right"/>
      </w:pPr>
      <w:r>
        <w:t>Источник - Постановление Правительства РФ от 17.07.2012 № 724 (с изменениями и дополнениями на 2014 год)</w:t>
      </w:r>
    </w:p>
    <w:p w:rsidR="00000000" w:rsidRDefault="004F32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https://порядокправа.рф/obrazecy/edinyj_gosudarstvennyj_reestr_moshhnostej_osnovnogo_texnologicheskogo_oborudovaniya_dlya_proizvodstva_eti.h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B"/>
    <w:rsid w:val="004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35B418-7DE8-4B20-B491-D9C04295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dinyj_gosudarstvennyj_reestr_moshhnostej_osnovnogo_texnologicheskogo_oborudovaniya_dlya_proizvodstva_e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пива, пивных напитков, сидра, пуаре и медовухи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2022-08-07T13:55:00Z</dcterms:created>
  <dcterms:modified xsi:type="dcterms:W3CDTF">2022-08-07T13:55:00Z</dcterms:modified>
</cp:coreProperties>
</file>